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8" w:lineRule="auto"/>
        <w:rPr>
          <w:rFonts w:hint="eastAsia" w:eastAsia="黑体" w:cs="黑体"/>
          <w:bCs/>
          <w:sz w:val="32"/>
          <w:szCs w:val="32"/>
          <w:lang w:eastAsia="zh-CN"/>
        </w:rPr>
      </w:pPr>
      <w:r>
        <w:rPr>
          <w:rFonts w:hint="eastAsia" w:eastAsia="黑体" w:cs="黑体"/>
          <w:bCs/>
          <w:sz w:val="32"/>
          <w:szCs w:val="32"/>
        </w:rPr>
        <w:t>附件</w:t>
      </w:r>
      <w:r>
        <w:rPr>
          <w:rFonts w:hint="eastAsia" w:eastAsia="黑体" w:cs="黑体"/>
          <w:bCs/>
          <w:sz w:val="32"/>
          <w:szCs w:val="32"/>
          <w:lang w:val="en-US" w:eastAsia="zh-CN"/>
        </w:rPr>
        <w:t>2</w:t>
      </w:r>
    </w:p>
    <w:p>
      <w:pPr>
        <w:spacing w:line="348" w:lineRule="auto"/>
        <w:jc w:val="center"/>
        <w:rPr>
          <w:rFonts w:hint="eastAsia" w:eastAsia="方正小标宋简体"/>
          <w:bCs/>
          <w:sz w:val="42"/>
          <w:szCs w:val="42"/>
        </w:rPr>
      </w:pPr>
    </w:p>
    <w:p>
      <w:pPr>
        <w:spacing w:line="800" w:lineRule="exact"/>
        <w:jc w:val="center"/>
        <w:rPr>
          <w:rFonts w:hint="eastAsia" w:eastAsia="方正小标宋简体"/>
          <w:bCs/>
          <w:spacing w:val="-20"/>
          <w:sz w:val="46"/>
          <w:szCs w:val="46"/>
        </w:rPr>
      </w:pPr>
      <w:r>
        <w:rPr>
          <w:rFonts w:hint="eastAsia" w:eastAsia="方正小标宋简体"/>
          <w:bCs/>
          <w:spacing w:val="-20"/>
          <w:sz w:val="46"/>
          <w:szCs w:val="46"/>
          <w:lang w:val="en-US" w:eastAsia="zh-CN"/>
        </w:rPr>
        <w:t>临湘市</w:t>
      </w:r>
      <w:r>
        <w:rPr>
          <w:rFonts w:hint="eastAsia" w:eastAsia="方正小标宋简体"/>
          <w:bCs/>
          <w:spacing w:val="-20"/>
          <w:sz w:val="46"/>
          <w:szCs w:val="46"/>
        </w:rPr>
        <w:t>20</w:t>
      </w:r>
      <w:r>
        <w:rPr>
          <w:rFonts w:hint="eastAsia" w:eastAsia="方正小标宋简体"/>
          <w:bCs/>
          <w:spacing w:val="-20"/>
          <w:sz w:val="46"/>
          <w:szCs w:val="46"/>
          <w:u w:val="single"/>
        </w:rPr>
        <w:t xml:space="preserve"> </w:t>
      </w:r>
      <w:r>
        <w:rPr>
          <w:rFonts w:hint="eastAsia" w:eastAsia="方正小标宋简体"/>
          <w:bCs/>
          <w:spacing w:val="-20"/>
          <w:sz w:val="46"/>
          <w:szCs w:val="46"/>
          <w:u w:val="single"/>
          <w:lang w:val="en-US" w:eastAsia="zh-CN"/>
        </w:rPr>
        <w:t>22</w:t>
      </w:r>
      <w:r>
        <w:rPr>
          <w:rFonts w:hint="eastAsia" w:eastAsia="方正小标宋简体"/>
          <w:bCs/>
          <w:spacing w:val="-20"/>
          <w:sz w:val="46"/>
          <w:szCs w:val="46"/>
          <w:u w:val="single"/>
        </w:rPr>
        <w:t xml:space="preserve">  </w:t>
      </w:r>
      <w:r>
        <w:rPr>
          <w:rFonts w:hint="eastAsia" w:eastAsia="方正小标宋简体"/>
          <w:bCs/>
          <w:spacing w:val="-20"/>
          <w:sz w:val="46"/>
          <w:szCs w:val="46"/>
        </w:rPr>
        <w:t>年度部门（单位）整体支出</w:t>
      </w:r>
    </w:p>
    <w:p>
      <w:pPr>
        <w:spacing w:line="800" w:lineRule="exact"/>
        <w:jc w:val="center"/>
        <w:rPr>
          <w:rFonts w:hint="eastAsia" w:eastAsia="方正小标宋简体"/>
          <w:bCs/>
          <w:sz w:val="46"/>
          <w:szCs w:val="46"/>
        </w:rPr>
      </w:pPr>
      <w:r>
        <w:rPr>
          <w:rFonts w:hint="eastAsia" w:eastAsia="方正小标宋简体"/>
          <w:bCs/>
          <w:sz w:val="46"/>
          <w:szCs w:val="46"/>
        </w:rPr>
        <w:t>绩效评价自评报告</w:t>
      </w:r>
    </w:p>
    <w:p>
      <w:pPr>
        <w:rPr>
          <w:rFonts w:hint="eastAsia" w:eastAsia="仿宋_GB2312"/>
          <w:b/>
          <w:sz w:val="32"/>
        </w:rPr>
      </w:pPr>
    </w:p>
    <w:p>
      <w:pPr>
        <w:rPr>
          <w:rFonts w:hint="eastAsia" w:eastAsia="仿宋_GB2312"/>
          <w:b/>
          <w:sz w:val="32"/>
        </w:rPr>
      </w:pPr>
    </w:p>
    <w:p>
      <w:pPr>
        <w:rPr>
          <w:rFonts w:hint="eastAsia" w:eastAsia="仿宋_GB2312"/>
          <w:b/>
          <w:sz w:val="32"/>
        </w:rPr>
      </w:pPr>
    </w:p>
    <w:p>
      <w:pPr>
        <w:spacing w:before="301" w:beforeLines="50" w:line="348" w:lineRule="auto"/>
        <w:ind w:firstLine="476" w:firstLineChars="150"/>
        <w:rPr>
          <w:rFonts w:hint="eastAsia" w:eastAsia="仿宋_GB2312"/>
          <w:sz w:val="32"/>
          <w:u w:val="single"/>
        </w:rPr>
      </w:pPr>
      <w:r>
        <w:rPr>
          <w:rFonts w:hint="eastAsia" w:eastAsia="仿宋_GB2312"/>
          <w:sz w:val="32"/>
        </w:rPr>
        <w:t>部门(单位)名称</w:t>
      </w:r>
      <w:r>
        <w:rPr>
          <w:rFonts w:hint="eastAsia" w:eastAsia="仿宋_GB2312"/>
          <w:sz w:val="32"/>
          <w:lang w:eastAsia="zh-CN"/>
        </w:rPr>
        <w:t>：</w:t>
      </w:r>
      <w:r>
        <w:rPr>
          <w:rFonts w:hint="eastAsia" w:eastAsia="仿宋_GB2312"/>
          <w:sz w:val="32"/>
          <w:u w:val="single"/>
        </w:rPr>
        <w:t xml:space="preserve">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eastAsia="仿宋_GB2312"/>
          <w:sz w:val="32"/>
          <w:u w:val="single"/>
          <w:lang w:eastAsia="zh-CN"/>
        </w:rPr>
        <w:t>中共临湘市委党史研究室</w:t>
      </w:r>
      <w:r>
        <w:rPr>
          <w:rFonts w:hint="eastAsia" w:eastAsia="仿宋_GB2312"/>
          <w:sz w:val="32"/>
          <w:u w:val="single"/>
        </w:rPr>
        <w:t xml:space="preserve">     </w:t>
      </w:r>
    </w:p>
    <w:p>
      <w:pPr>
        <w:spacing w:before="301" w:beforeLines="50" w:line="348" w:lineRule="auto"/>
        <w:ind w:firstLine="476" w:firstLineChars="15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评价方式：</w:t>
      </w:r>
      <w:r>
        <w:rPr>
          <w:rFonts w:hint="eastAsia" w:eastAsia="仿宋_GB2312"/>
          <w:sz w:val="28"/>
          <w:szCs w:val="28"/>
        </w:rPr>
        <w:t>部门（单位）绩效自评</w:t>
      </w:r>
    </w:p>
    <w:p>
      <w:pPr>
        <w:spacing w:before="301" w:beforeLines="50" w:line="348" w:lineRule="auto"/>
        <w:ind w:firstLine="476" w:firstLineChars="15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  <w:szCs w:val="32"/>
        </w:rPr>
        <w:t>评价机构：</w:t>
      </w:r>
      <w:r>
        <w:rPr>
          <w:rFonts w:hint="eastAsia" w:eastAsia="仿宋_GB2312"/>
          <w:sz w:val="28"/>
          <w:szCs w:val="28"/>
        </w:rPr>
        <w:t xml:space="preserve">部门（单位）评价组   </w:t>
      </w:r>
    </w:p>
    <w:p>
      <w:pPr>
        <w:spacing w:line="348" w:lineRule="auto"/>
        <w:ind w:firstLine="2188" w:firstLineChars="690"/>
        <w:rPr>
          <w:rFonts w:hint="eastAsia" w:eastAsia="仿宋_GB2312"/>
          <w:sz w:val="32"/>
        </w:rPr>
      </w:pPr>
    </w:p>
    <w:p>
      <w:pPr>
        <w:spacing w:line="348" w:lineRule="auto"/>
        <w:ind w:firstLine="2188" w:firstLineChars="690"/>
        <w:rPr>
          <w:rFonts w:hint="eastAsia" w:eastAsia="仿宋_GB2312"/>
          <w:sz w:val="32"/>
        </w:rPr>
      </w:pPr>
    </w:p>
    <w:p>
      <w:pPr>
        <w:spacing w:line="348" w:lineRule="auto"/>
        <w:ind w:firstLine="2188" w:firstLineChars="69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报告日期：</w:t>
      </w:r>
      <w:r>
        <w:rPr>
          <w:rFonts w:hint="eastAsia" w:eastAsia="仿宋_GB2312"/>
          <w:sz w:val="32"/>
          <w:lang w:val="en-US" w:eastAsia="zh-CN"/>
        </w:rPr>
        <w:t>2023</w:t>
      </w:r>
      <w:r>
        <w:rPr>
          <w:rFonts w:hint="eastAsia" w:eastAsia="仿宋_GB2312"/>
          <w:sz w:val="32"/>
        </w:rPr>
        <w:t xml:space="preserve"> 年 </w:t>
      </w:r>
      <w:r>
        <w:rPr>
          <w:rFonts w:hint="eastAsia" w:eastAsia="仿宋_GB2312"/>
          <w:sz w:val="32"/>
          <w:lang w:val="en-US" w:eastAsia="zh-CN"/>
        </w:rPr>
        <w:t>2</w:t>
      </w:r>
      <w:r>
        <w:rPr>
          <w:rFonts w:hint="eastAsia" w:eastAsia="仿宋_GB2312"/>
          <w:sz w:val="32"/>
        </w:rPr>
        <w:t xml:space="preserve">  月 </w:t>
      </w:r>
      <w:r>
        <w:rPr>
          <w:rFonts w:hint="eastAsia" w:eastAsia="仿宋_GB2312"/>
          <w:sz w:val="32"/>
          <w:lang w:val="en-US" w:eastAsia="zh-CN"/>
        </w:rPr>
        <w:t>22</w:t>
      </w:r>
      <w:r>
        <w:rPr>
          <w:rFonts w:hint="eastAsia" w:eastAsia="仿宋_GB2312"/>
          <w:sz w:val="32"/>
        </w:rPr>
        <w:t xml:space="preserve">  日</w:t>
      </w:r>
    </w:p>
    <w:p>
      <w:pPr>
        <w:autoSpaceDN w:val="0"/>
        <w:jc w:val="center"/>
        <w:textAlignment w:val="center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lang w:val="en-US" w:eastAsia="zh-CN"/>
        </w:rPr>
        <w:t>临湘市</w:t>
      </w:r>
      <w:r>
        <w:rPr>
          <w:rFonts w:hint="eastAsia" w:eastAsia="仿宋_GB2312"/>
          <w:sz w:val="32"/>
        </w:rPr>
        <w:t>财政</w:t>
      </w:r>
      <w:r>
        <w:rPr>
          <w:rFonts w:hint="eastAsia" w:eastAsia="仿宋_GB2312"/>
          <w:sz w:val="32"/>
          <w:szCs w:val="32"/>
        </w:rPr>
        <w:t>局（制）</w:t>
      </w:r>
    </w:p>
    <w:p>
      <w:pPr>
        <w:autoSpaceDN w:val="0"/>
        <w:jc w:val="center"/>
        <w:textAlignment w:val="center"/>
        <w:rPr>
          <w:rFonts w:hint="eastAsia" w:eastAsia="仿宋_GB2312"/>
          <w:sz w:val="32"/>
          <w:szCs w:val="32"/>
        </w:rPr>
        <w:sectPr>
          <w:footerReference r:id="rId3" w:type="even"/>
          <w:pgSz w:w="11906" w:h="16838"/>
          <w:pgMar w:top="1701" w:right="1417" w:bottom="1587" w:left="1417" w:header="851" w:footer="992" w:gutter="0"/>
          <w:pgNumType w:fmt="numberInDash" w:start="8"/>
          <w:cols w:space="720" w:num="1"/>
          <w:docGrid w:type="linesAndChars" w:linePitch="602" w:charSpace="-782"/>
        </w:sectPr>
      </w:pPr>
    </w:p>
    <w:tbl>
      <w:tblPr>
        <w:tblStyle w:val="5"/>
        <w:tblW w:w="102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392"/>
        <w:gridCol w:w="49"/>
        <w:gridCol w:w="477"/>
        <w:gridCol w:w="739"/>
        <w:gridCol w:w="333"/>
        <w:gridCol w:w="1000"/>
        <w:gridCol w:w="417"/>
        <w:gridCol w:w="14"/>
        <w:gridCol w:w="1019"/>
        <w:gridCol w:w="301"/>
        <w:gridCol w:w="1316"/>
        <w:gridCol w:w="59"/>
        <w:gridCol w:w="425"/>
        <w:gridCol w:w="135"/>
        <w:gridCol w:w="1183"/>
        <w:gridCol w:w="248"/>
        <w:gridCol w:w="452"/>
        <w:gridCol w:w="6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0237" w:type="dxa"/>
            <w:gridSpan w:val="18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>一、部门（单位）基本概况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联系人</w:t>
            </w:r>
          </w:p>
        </w:tc>
        <w:tc>
          <w:tcPr>
            <w:tcW w:w="2503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莎</w:t>
            </w:r>
          </w:p>
        </w:tc>
        <w:tc>
          <w:tcPr>
            <w:tcW w:w="3255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联络电话</w:t>
            </w:r>
          </w:p>
        </w:tc>
        <w:tc>
          <w:tcPr>
            <w:tcW w:w="256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13574001982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人员编制</w:t>
            </w:r>
          </w:p>
        </w:tc>
        <w:tc>
          <w:tcPr>
            <w:tcW w:w="2503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3255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实有人数</w:t>
            </w:r>
          </w:p>
        </w:tc>
        <w:tc>
          <w:tcPr>
            <w:tcW w:w="256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00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职能职责概述</w:t>
            </w:r>
          </w:p>
        </w:tc>
        <w:tc>
          <w:tcPr>
            <w:tcW w:w="8319" w:type="dxa"/>
            <w:gridSpan w:val="15"/>
            <w:vAlign w:val="center"/>
          </w:tcPr>
          <w:p>
            <w:pPr>
              <w:autoSpaceDN w:val="0"/>
              <w:spacing w:line="400" w:lineRule="exact"/>
              <w:ind w:firstLine="47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"/>
              </w:rPr>
              <w:t>落实中央、省、市党史研究室党史工作法规、条例和要求，承担党史研究及宣传教育等工作；积极开展党史编研工作，对全市党史资料进行征集、研究、整理、编撰；贯彻执行地方志工作法规，组织、指导、督促和检查全县地方志工作；拟定地方志工作规划和编纂方案，组织编纂地方志书、地方综合年鉴和其它地情文献；负责本市域内各类志书、年鉴的审稿、审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39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年度主要工作内容</w:t>
            </w:r>
          </w:p>
        </w:tc>
        <w:tc>
          <w:tcPr>
            <w:tcW w:w="8319" w:type="dxa"/>
            <w:gridSpan w:val="1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任务1：负责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临湘市党史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档案保管和利用工作。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任务2：负责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临湘市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围内党史、地方志、年鉴等编研与开发工作。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任务3：负责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临湘市党史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档案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查阅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服务。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260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年度部门（单位）总体运行情况及取得的成绩</w:t>
            </w:r>
          </w:p>
        </w:tc>
        <w:tc>
          <w:tcPr>
            <w:tcW w:w="8319" w:type="dxa"/>
            <w:gridSpan w:val="1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总体运行良好。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2022年度被评为综合绩效考评先进单位。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0237" w:type="dxa"/>
            <w:gridSpan w:val="18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>二、部门（单位）收支情况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0237" w:type="dxa"/>
            <w:gridSpan w:val="18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年度收入情况（万元）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机构名称</w:t>
            </w:r>
          </w:p>
        </w:tc>
        <w:tc>
          <w:tcPr>
            <w:tcW w:w="126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收入合计</w:t>
            </w:r>
          </w:p>
        </w:tc>
        <w:tc>
          <w:tcPr>
            <w:tcW w:w="7580" w:type="dxa"/>
            <w:gridSpan w:val="14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Merge w:val="continue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上年结转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公共财政拨款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政府基金拨款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纳入专户管理的非税收入拨款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其他收入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2" w:hRule="atLeast"/>
        </w:trPr>
        <w:tc>
          <w:tcPr>
            <w:tcW w:w="1392" w:type="dxa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局机关及二级机构汇总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1、局机关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党史研究室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131.46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131.46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3、二级机构2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0237" w:type="dxa"/>
            <w:gridSpan w:val="18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部门（单位）年度支出和结余情况（万元）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26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支出合计</w:t>
            </w:r>
          </w:p>
        </w:tc>
        <w:tc>
          <w:tcPr>
            <w:tcW w:w="6202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1378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结余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基本支出</w:t>
            </w:r>
          </w:p>
        </w:tc>
        <w:tc>
          <w:tcPr>
            <w:tcW w:w="355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1318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项目支出</w:t>
            </w:r>
          </w:p>
        </w:tc>
        <w:tc>
          <w:tcPr>
            <w:tcW w:w="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当年结余</w:t>
            </w:r>
          </w:p>
        </w:tc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累计结余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人员支出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公用支出</w:t>
            </w:r>
          </w:p>
        </w:tc>
        <w:tc>
          <w:tcPr>
            <w:tcW w:w="131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局机关及二级机构汇总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8" w:type="dxa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1、局机关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8" w:type="dxa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党史研究室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131.46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101.46</w:t>
            </w: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93.42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8.04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30</w:t>
            </w:r>
          </w:p>
        </w:tc>
        <w:tc>
          <w:tcPr>
            <w:tcW w:w="7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678" w:type="dxa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3、二级机构2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8" w:type="dxa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26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三公经费</w:t>
            </w:r>
          </w:p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合计</w:t>
            </w:r>
          </w:p>
        </w:tc>
        <w:tc>
          <w:tcPr>
            <w:tcW w:w="7580" w:type="dxa"/>
            <w:gridSpan w:val="14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公务接待费</w:t>
            </w: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公务用车运维费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公务用车购置费</w:t>
            </w:r>
          </w:p>
        </w:tc>
        <w:tc>
          <w:tcPr>
            <w:tcW w:w="2696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因公出国费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局机关及二级机构汇总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96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1、局机关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96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党史研究室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0.78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0.78</w:t>
            </w: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696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3、二级机构2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96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26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固定资产</w:t>
            </w:r>
          </w:p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合计</w:t>
            </w:r>
          </w:p>
        </w:tc>
        <w:tc>
          <w:tcPr>
            <w:tcW w:w="6202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1378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在用固定资产</w:t>
            </w:r>
          </w:p>
        </w:tc>
        <w:tc>
          <w:tcPr>
            <w:tcW w:w="311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出租固定资产</w:t>
            </w:r>
          </w:p>
        </w:tc>
        <w:tc>
          <w:tcPr>
            <w:tcW w:w="137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局机关及二级机构汇总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18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1、局机关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18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党史研究室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3118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3、二级机构2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18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0237" w:type="dxa"/>
            <w:gridSpan w:val="18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>三、部门（单位）整体支出绩效自评情况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441" w:type="dxa"/>
            <w:gridSpan w:val="2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整体支出绩效定性目标及实施计划完成情况</w:t>
            </w:r>
          </w:p>
        </w:tc>
        <w:tc>
          <w:tcPr>
            <w:tcW w:w="2980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预期目标</w:t>
            </w:r>
          </w:p>
        </w:tc>
        <w:tc>
          <w:tcPr>
            <w:tcW w:w="5816" w:type="dxa"/>
            <w:gridSpan w:val="10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实际完成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73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80" w:type="dxa"/>
            <w:gridSpan w:val="6"/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hint="eastAsia" w:ascii="仿宋_GB2312" w:eastAsia="仿宋_GB2312"/>
                <w:color w:val="00000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</w:rPr>
              <w:t>目标1：</w:t>
            </w:r>
            <w:r>
              <w:rPr>
                <w:rFonts w:hint="eastAsia" w:ascii="仿宋_GB2312" w:hAnsi="Calibri" w:eastAsia="仿宋_GB2312" w:cs="Times New Roman"/>
                <w:color w:val="000000"/>
                <w:lang w:eastAsia="zh-CN"/>
              </w:rPr>
              <w:t>指标</w:t>
            </w:r>
            <w:r>
              <w:rPr>
                <w:rFonts w:hint="eastAsia" w:ascii="仿宋_GB2312" w:hAnsi="Calibri" w:eastAsia="仿宋_GB2312" w:cs="Times New Roman"/>
                <w:color w:val="000000"/>
                <w:lang w:val="en-US" w:eastAsia="zh-CN"/>
              </w:rPr>
              <w:t>1：</w:t>
            </w:r>
            <w:r>
              <w:rPr>
                <w:rFonts w:hint="eastAsia" w:ascii="仿宋_GB2312" w:hAnsi="Calibri" w:eastAsia="仿宋_GB2312" w:cs="Times New Roman"/>
                <w:color w:val="000000"/>
                <w:lang w:eastAsia="zh-CN"/>
              </w:rPr>
              <w:t>《临湘市年鉴·</w:t>
            </w:r>
            <w:r>
              <w:rPr>
                <w:rFonts w:hint="eastAsia" w:ascii="仿宋_GB2312" w:hAnsi="Calibri" w:eastAsia="仿宋_GB2312" w:cs="Times New Roman"/>
                <w:color w:val="000000"/>
                <w:lang w:val="en-US" w:eastAsia="zh-CN"/>
              </w:rPr>
              <w:t>2022</w:t>
            </w:r>
            <w:r>
              <w:rPr>
                <w:rFonts w:hint="eastAsia" w:ascii="仿宋_GB2312" w:hAnsi="Calibri" w:eastAsia="仿宋_GB2312" w:cs="Times New Roman"/>
                <w:color w:val="000000"/>
                <w:lang w:eastAsia="zh-CN"/>
              </w:rPr>
              <w:t>》公开</w:t>
            </w:r>
            <w:r>
              <w:rPr>
                <w:rFonts w:hint="eastAsia" w:ascii="仿宋_GB2312" w:hAnsi="Calibri" w:eastAsia="仿宋_GB2312" w:cs="Times New Roman"/>
                <w:color w:val="000000"/>
              </w:rPr>
              <w:t>出版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hint="eastAsia" w:ascii="仿宋_GB2312" w:eastAsia="仿宋_GB2312"/>
                <w:color w:val="00000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>目标2：馆藏档案</w:t>
            </w:r>
            <w:r>
              <w:rPr>
                <w:rFonts w:hint="eastAsia" w:ascii="仿宋_GB2312" w:eastAsia="仿宋_GB2312"/>
                <w:color w:val="000000"/>
              </w:rPr>
              <w:t>妥善保管和充分利用。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hint="eastAsia" w:ascii="仿宋_GB2312" w:eastAsia="仿宋_GB2312"/>
                <w:color w:val="00000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</w:rPr>
              <w:t>目标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</w:rPr>
              <w:t>：档案服务水平提高。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16" w:type="dxa"/>
            <w:gridSpan w:val="10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441" w:type="dxa"/>
            <w:gridSpan w:val="2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整体支出</w:t>
            </w:r>
          </w:p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绩效定量目标及实施计划</w:t>
            </w:r>
          </w:p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完成情况</w:t>
            </w:r>
          </w:p>
        </w:tc>
        <w:tc>
          <w:tcPr>
            <w:tcW w:w="2966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评价内容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绩效目标</w:t>
            </w: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产出目标</w:t>
            </w:r>
          </w:p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（部门工作实绩，包含上级部门和区委区政府布置的重点工作、实事任务等，根据部门实际进行调整细化）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质量指标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lang w:eastAsia="zh-CN"/>
              </w:rPr>
              <w:t>指标</w:t>
            </w:r>
            <w:r>
              <w:rPr>
                <w:rFonts w:hint="eastAsia" w:ascii="仿宋_GB2312" w:hAnsi="Calibri" w:eastAsia="仿宋_GB2312" w:cs="Times New Roman"/>
                <w:color w:val="000000"/>
                <w:lang w:val="en-US" w:eastAsia="zh-CN"/>
              </w:rPr>
              <w:t>1：</w:t>
            </w:r>
            <w:r>
              <w:rPr>
                <w:rFonts w:hint="eastAsia" w:ascii="仿宋_GB2312" w:hAnsi="Calibri" w:eastAsia="仿宋_GB2312" w:cs="Times New Roman"/>
                <w:color w:val="000000"/>
                <w:lang w:eastAsia="zh-CN"/>
              </w:rPr>
              <w:t>《临湘市年鉴·</w:t>
            </w:r>
            <w:r>
              <w:rPr>
                <w:rFonts w:hint="eastAsia" w:ascii="仿宋_GB2312" w:hAnsi="Calibri" w:eastAsia="仿宋_GB2312" w:cs="Times New Roman"/>
                <w:color w:val="000000"/>
                <w:lang w:val="en-US" w:eastAsia="zh-CN"/>
              </w:rPr>
              <w:t>2022</w:t>
            </w:r>
            <w:r>
              <w:rPr>
                <w:rFonts w:hint="eastAsia" w:ascii="仿宋_GB2312" w:hAnsi="Calibri" w:eastAsia="仿宋_GB2312" w:cs="Times New Roman"/>
                <w:color w:val="000000"/>
                <w:lang w:eastAsia="zh-CN"/>
              </w:rPr>
              <w:t>》公开</w:t>
            </w:r>
            <w:r>
              <w:rPr>
                <w:rFonts w:hint="eastAsia" w:ascii="仿宋_GB2312" w:hAnsi="Calibri" w:eastAsia="仿宋_GB2312" w:cs="Times New Roman"/>
                <w:color w:val="000000"/>
              </w:rPr>
              <w:t>出版</w:t>
            </w: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lang w:eastAsia="zh-CN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数量指标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lang w:eastAsia="zh-CN"/>
              </w:rPr>
              <w:t>配合档案馆执法检查</w:t>
            </w: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lang w:eastAsia="zh-CN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1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1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时效指标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2022年1-12月</w:t>
            </w: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lang w:eastAsia="zh-CN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成本指标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lang w:val="en-US" w:eastAsia="zh-CN"/>
              </w:rPr>
              <w:t>严格控制预算、“三公”经费支出，做到预算支出不超标</w:t>
            </w: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lang w:eastAsia="zh-CN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restart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效益目标</w:t>
            </w:r>
          </w:p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（预期实现的效益）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社会效益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档案查阅服务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130人次</w:t>
            </w: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lang w:eastAsia="zh-CN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经济效益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生态效益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>
            <w:pPr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档案服务满意度98%</w:t>
            </w:r>
          </w:p>
        </w:tc>
        <w:tc>
          <w:tcPr>
            <w:tcW w:w="3121" w:type="dxa"/>
            <w:gridSpan w:val="6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lang w:eastAsia="zh-CN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2990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绩效自评综合得分</w:t>
            </w:r>
          </w:p>
        </w:tc>
        <w:tc>
          <w:tcPr>
            <w:tcW w:w="7247" w:type="dxa"/>
            <w:gridSpan w:val="1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2990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评价等次</w:t>
            </w:r>
          </w:p>
        </w:tc>
        <w:tc>
          <w:tcPr>
            <w:tcW w:w="7247" w:type="dxa"/>
            <w:gridSpan w:val="1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优秀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0237" w:type="dxa"/>
            <w:gridSpan w:val="18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>四、评价人员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名</w:t>
            </w:r>
          </w:p>
        </w:tc>
        <w:tc>
          <w:tcPr>
            <w:tcW w:w="2503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职务/职称</w:t>
            </w:r>
          </w:p>
        </w:tc>
        <w:tc>
          <w:tcPr>
            <w:tcW w:w="3255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  位</w:t>
            </w:r>
          </w:p>
        </w:tc>
        <w:tc>
          <w:tcPr>
            <w:tcW w:w="256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签  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许定华</w:t>
            </w:r>
          </w:p>
        </w:tc>
        <w:tc>
          <w:tcPr>
            <w:tcW w:w="2503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主任</w:t>
            </w:r>
          </w:p>
        </w:tc>
        <w:tc>
          <w:tcPr>
            <w:tcW w:w="3255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中共临湘市委党史研究办公室</w:t>
            </w:r>
          </w:p>
        </w:tc>
        <w:tc>
          <w:tcPr>
            <w:tcW w:w="256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李小容</w:t>
            </w:r>
          </w:p>
        </w:tc>
        <w:tc>
          <w:tcPr>
            <w:tcW w:w="2503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副主任</w:t>
            </w:r>
          </w:p>
        </w:tc>
        <w:tc>
          <w:tcPr>
            <w:tcW w:w="3255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中共临湘市委党史研究办公室</w:t>
            </w:r>
          </w:p>
        </w:tc>
        <w:tc>
          <w:tcPr>
            <w:tcW w:w="256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莎</w:t>
            </w:r>
          </w:p>
        </w:tc>
        <w:tc>
          <w:tcPr>
            <w:tcW w:w="2503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财务室干部</w:t>
            </w:r>
          </w:p>
        </w:tc>
        <w:tc>
          <w:tcPr>
            <w:tcW w:w="3255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中共临湘市委党史研究办公室</w:t>
            </w:r>
          </w:p>
        </w:tc>
        <w:tc>
          <w:tcPr>
            <w:tcW w:w="256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918" w:type="dxa"/>
            <w:gridSpan w:val="3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503" w:type="dxa"/>
            <w:gridSpan w:val="5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255" w:type="dxa"/>
            <w:gridSpan w:val="6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561" w:type="dxa"/>
            <w:gridSpan w:val="4"/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27" w:hRule="atLeast"/>
        </w:trPr>
        <w:tc>
          <w:tcPr>
            <w:tcW w:w="10237" w:type="dxa"/>
            <w:gridSpan w:val="18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评价组组长（签字）：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484" w:hRule="atLeast"/>
        </w:trPr>
        <w:tc>
          <w:tcPr>
            <w:tcW w:w="10237" w:type="dxa"/>
            <w:gridSpan w:val="18"/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部门（单位）意见：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   部门（单位）负责人（签章）：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66" w:hRule="atLeast"/>
        </w:trPr>
        <w:tc>
          <w:tcPr>
            <w:tcW w:w="10237" w:type="dxa"/>
            <w:gridSpan w:val="18"/>
            <w:vAlign w:val="center"/>
          </w:tcPr>
          <w:p>
            <w:pPr>
              <w:spacing w:line="4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财政部门归口业务科室意见：</w:t>
            </w:r>
          </w:p>
          <w:p>
            <w:pPr>
              <w:spacing w:line="44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44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44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4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财政部门归口业务科室负责人（签章）：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                      年    月   日</w:t>
            </w:r>
          </w:p>
        </w:tc>
      </w:tr>
    </w:tbl>
    <w:p>
      <w:pPr>
        <w:rPr>
          <w:rFonts w:hint="eastAsia" w:eastAsia="仿宋_GB2312" w:cs="仿宋_GB2312"/>
          <w:bCs/>
          <w:sz w:val="28"/>
          <w:szCs w:val="28"/>
        </w:rPr>
      </w:pPr>
      <w:r>
        <w:rPr>
          <w:rFonts w:hint="eastAsia" w:eastAsia="仿宋_GB2312" w:cs="仿宋_GB2312"/>
          <w:bCs/>
          <w:sz w:val="28"/>
          <w:szCs w:val="28"/>
        </w:rPr>
        <w:t>填报人（签名）：                          联系电话：</w:t>
      </w:r>
    </w:p>
    <w:tbl>
      <w:tblPr>
        <w:tblStyle w:val="5"/>
        <w:tblW w:w="104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8" w:hRule="atLeast"/>
        </w:trPr>
        <w:tc>
          <w:tcPr>
            <w:tcW w:w="10422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五、评价报告综述（文字部分）</w:t>
            </w:r>
          </w:p>
          <w:p>
            <w:pPr>
              <w:spacing w:line="440" w:lineRule="exact"/>
              <w:ind w:firstLine="630" w:firstLineChars="200"/>
              <w:rPr>
                <w:rFonts w:hint="eastAsia" w:eastAsia="仿宋_GB2312"/>
                <w:sz w:val="32"/>
                <w:szCs w:val="32"/>
              </w:rPr>
            </w:pPr>
          </w:p>
          <w:p>
            <w:pPr>
              <w:spacing w:line="400" w:lineRule="exact"/>
              <w:ind w:firstLine="550" w:firstLineChars="200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一、部门（单位）概况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（一）部门（单位）基本情况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中共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临湘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市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委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党史研究室主管全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史志档案工作，负责全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党史、地方志编研与开发，促进史志研究成果转化，档案服务等工作。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现有干部职工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8人，其中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全额拨款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编制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名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，全额拨款事业编制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3人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。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（二）部门（单位）整体支出规模、使用方向和主要内容、涉及范围等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2022年度临湘市委党史研究室整体支出共计131.46万元。主要用于基本支出和项目支出。基本支持包括人员支出和公用支出，项目支出主要包括档案利用和保护，临湘市年鉴书号、编辑、印刷、出版，党史联络与研究。</w:t>
            </w:r>
          </w:p>
          <w:p>
            <w:pPr>
              <w:spacing w:line="400" w:lineRule="exact"/>
              <w:ind w:firstLine="550" w:firstLineChars="200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二、部门（单位）整体支出管理及使用情况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（一）基本支出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基本支出101.46万元，其中人员支出93.42万元，公用支出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8.04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万元。其中“三公”经费支出合计0.79万元。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专项支出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2022年临湘市委党史研究室专项支出共计30万元，其中：史志编印经费25万元，党史宣教刊物5万元。主要用于了档案修补托裱、临湘市年鉴书号、编辑、印刷、出版、党史联络与研究等。专项资金拨付有完整的审批程序和手续，按照财经制度的有关要求，做到专款专用，单位纪检人员对专项资金的使用全程监督，保证资金使用的合规性。</w:t>
            </w:r>
          </w:p>
          <w:p>
            <w:pPr>
              <w:spacing w:line="40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550" w:firstLineChars="200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三、部门（单位）专项组织实施情况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（一）专项组织情况分析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为加强我单位预算绩效管理，不断提高财政资金配置和使用效益，成立了财务管理工作领导小组。由主要负责人担任组长，分管财务副主任担任副组长，财务室干部为成员。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（二）专项管理情况分析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我单位制定了财务管理制度，制定了财务职责，制定了厉行节约制度，管理制度依照相关国家的法律、法规而制定，具有合法性、合规性、完整性，相关管理制度得到认真执行。</w:t>
            </w:r>
          </w:p>
          <w:p>
            <w:pPr>
              <w:spacing w:line="400" w:lineRule="exact"/>
              <w:ind w:firstLine="550" w:firstLineChars="200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四、部门（单位）整体支出绩效情况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2022年我单位整体支出绩效实施计划完成情况：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1.《临湘市年鉴·2022》已完成公开出版。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2.馆藏档案的修补托裱及保护利用工作均已按时按质完成，较好的对档案资料进行保护。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3.联合档案馆开展档案工作行政执法检查，我市基层档案工作面貌有较大改观。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ind w:firstLine="550" w:firstLineChars="200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五、存在的主要问题</w:t>
            </w:r>
          </w:p>
          <w:p>
            <w:pPr>
              <w:widowControl/>
              <w:spacing w:line="560" w:lineRule="exact"/>
              <w:ind w:firstLine="550" w:firstLineChars="200"/>
              <w:jc w:val="left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我单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位会计基础工作需要不断完善。</w:t>
            </w:r>
          </w:p>
          <w:p>
            <w:pPr>
              <w:spacing w:line="400" w:lineRule="exact"/>
              <w:ind w:firstLine="550" w:firstLineChars="200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550" w:firstLineChars="200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六、改进措施和有关建议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一）建立健全科学的预算管理体系，不断提高财政资金使用效率严格控制各项经费的开支，提高经费的使用效率。</w:t>
            </w:r>
          </w:p>
          <w:p>
            <w:pPr>
              <w:spacing w:line="560" w:lineRule="exact"/>
              <w:ind w:firstLine="550" w:firstLineChars="20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（二）财务工作人员进一步加强学习，提高业务水平。</w:t>
            </w:r>
          </w:p>
          <w:p>
            <w:pPr>
              <w:rPr>
                <w:rFonts w:eastAsia="楷体_GB2312"/>
                <w:bCs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footerReference r:id="rId4" w:type="default"/>
      <w:pgSz w:w="11906" w:h="16838"/>
      <w:pgMar w:top="1587" w:right="850" w:bottom="1587" w:left="850" w:header="851" w:footer="850" w:gutter="0"/>
      <w:pgNumType w:fmt="numberInDash" w:start="8"/>
      <w:cols w:space="720" w:num="1"/>
      <w:docGrid w:type="linesAndChars" w:linePitch="602" w:charSpace="-12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- 15 -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623A1"/>
    <w:multiLevelType w:val="singleLevel"/>
    <w:tmpl w:val="0C5623A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4NTZlYTkyOTZjMjE4ODYxYjFhNTIxZTY0MzU4MzkifQ=="/>
  </w:docVars>
  <w:rsids>
    <w:rsidRoot w:val="72AE08AA"/>
    <w:rsid w:val="5EAE4C28"/>
    <w:rsid w:val="72AE08AA"/>
    <w:rsid w:val="738F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2023-09-04T22:45:00Z</dcterms:created>
  <dc:creator>若冰</dc:creator>
  <cp:lastModifiedBy>KK</cp:lastModifiedBy>
  <dcterms:modified xsi:type="dcterms:W3CDTF">2023-09-07T01:38:06Z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4F299A69B6AF49FEAF14E1D2ADF92B1B_11</vt:lpwstr>
  </property>
</Properties>
</file>